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F2C06" w14:textId="2A656FD8" w:rsidR="000C7924" w:rsidRPr="000C7924" w:rsidRDefault="000C7924" w:rsidP="000C7924">
      <w:pPr>
        <w:spacing w:after="210" w:line="240" w:lineRule="auto"/>
        <w:ind w:firstLine="240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Na podlagi 29. člena Zakona o lokalni samoupravi (ZLS-UPB2, Uradni list RS, št. 94/07 </w:t>
      </w:r>
      <w:r w:rsidR="00741A2B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s spremembami in </w:t>
      </w: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dopolnitvami)</w:t>
      </w:r>
      <w:r w:rsidR="007E033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,</w:t>
      </w: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16. člena Statuta Občine Bovec (Uradni list RS, št. 72/06, 89/10</w:t>
      </w:r>
      <w:r w:rsidR="0000501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in</w:t>
      </w:r>
      <w:r w:rsidR="00741A2B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75/17</w:t>
      </w: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)</w:t>
      </w:r>
      <w:r w:rsidR="0000501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,</w:t>
      </w:r>
      <w:r w:rsidR="007E033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2. odstavka 20</w:t>
      </w:r>
      <w:r w:rsidR="0000501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.</w:t>
      </w:r>
      <w:r w:rsidR="007E033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člena </w:t>
      </w:r>
      <w:r w:rsidR="007E033C" w:rsidRPr="007E033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Pravilnik</w:t>
      </w:r>
      <w:r w:rsidR="007E033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a</w:t>
      </w:r>
      <w:r w:rsidR="007E033C" w:rsidRPr="007E033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o sofinanciranju dejavnosti na področju turizma in prireditev v Občini Bovec</w:t>
      </w:r>
      <w:r w:rsidR="00741A2B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="007E033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(Uradni list RS, št. 46/18 in 53/18)</w:t>
      </w:r>
      <w:r w:rsidR="0000501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ter 23. člena </w:t>
      </w:r>
      <w:r w:rsidR="0000501C">
        <w:rPr>
          <w:rFonts w:ascii="Arial" w:hAnsi="Arial" w:cs="Arial"/>
          <w:color w:val="000000"/>
          <w:sz w:val="18"/>
          <w:szCs w:val="18"/>
          <w:shd w:val="clear" w:color="auto" w:fill="FFFFFF"/>
        </w:rPr>
        <w:t>Pravilnik</w:t>
      </w:r>
      <w:r w:rsidR="0000501C">
        <w:rPr>
          <w:rFonts w:ascii="Arial" w:hAnsi="Arial" w:cs="Arial"/>
          <w:color w:val="000000"/>
          <w:sz w:val="18"/>
          <w:szCs w:val="18"/>
          <w:shd w:val="clear" w:color="auto" w:fill="FFFFFF"/>
        </w:rPr>
        <w:t>a</w:t>
      </w:r>
      <w:r w:rsidR="0000501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dodeljevanju pomoči za ohranjanje in spodbujanje razvoja kmetijstva, čebelarstva in podeželja v Občini Bovec (Uradni list RS, št. ___)</w:t>
      </w:r>
      <w:r w:rsidR="007E033C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, </w:t>
      </w:r>
      <w:r w:rsidR="00741A2B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v skladu z Uredbo Komisije (EU) št. 2023/2831 (Uradni list EU L, 2023/2831, 15.12.2023) </w:t>
      </w: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je Občinski svet Občine Bovec na </w:t>
      </w:r>
      <w:r w:rsidR="00EE2875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__</w:t>
      </w: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. redni seji dne </w:t>
      </w:r>
      <w:r w:rsidR="00EE2875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________</w:t>
      </w: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sprejel</w:t>
      </w:r>
    </w:p>
    <w:p w14:paraId="3CF8BB6B" w14:textId="77777777" w:rsidR="000C7924" w:rsidRPr="000C7924" w:rsidRDefault="000C7924" w:rsidP="000C7924">
      <w:pPr>
        <w:spacing w:after="210" w:line="360" w:lineRule="atLeast"/>
        <w:jc w:val="center"/>
        <w:rPr>
          <w:rFonts w:ascii="Arial" w:eastAsia="Times New Roman" w:hAnsi="Arial" w:cs="Arial"/>
          <w:b/>
          <w:bCs/>
          <w:color w:val="6B7E9D"/>
          <w:sz w:val="23"/>
          <w:szCs w:val="23"/>
          <w:lang w:eastAsia="sl-SI"/>
        </w:rPr>
      </w:pPr>
      <w:bookmarkStart w:id="0" w:name="_Hlk176953788"/>
      <w:r w:rsidRPr="000C7924">
        <w:rPr>
          <w:rFonts w:ascii="Arial" w:eastAsia="Times New Roman" w:hAnsi="Arial" w:cs="Arial"/>
          <w:b/>
          <w:bCs/>
          <w:color w:val="6B7E9D"/>
          <w:sz w:val="23"/>
          <w:szCs w:val="23"/>
          <w:lang w:eastAsia="sl-SI"/>
        </w:rPr>
        <w:t xml:space="preserve">P R A V I L N I K </w:t>
      </w:r>
      <w:r w:rsidRPr="000C7924">
        <w:rPr>
          <w:rFonts w:ascii="Arial" w:eastAsia="Times New Roman" w:hAnsi="Arial" w:cs="Arial"/>
          <w:b/>
          <w:bCs/>
          <w:color w:val="6B7E9D"/>
          <w:sz w:val="23"/>
          <w:szCs w:val="23"/>
          <w:lang w:eastAsia="sl-SI"/>
        </w:rPr>
        <w:br/>
        <w:t>o spremembah in dopolnitvah Pravilnika o finančnih intervencijah za ohranjanje in razvoj malega gospodarstva in turizma ter vzpodbujanje projektov inovacij v Občini Bovec</w:t>
      </w:r>
      <w:bookmarkEnd w:id="0"/>
    </w:p>
    <w:p w14:paraId="2D3ADE86" w14:textId="77777777" w:rsidR="000C7924" w:rsidRPr="000C7924" w:rsidRDefault="000C7924" w:rsidP="000C7924">
      <w:pPr>
        <w:spacing w:after="210" w:line="240" w:lineRule="auto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</w:pPr>
      <w:bookmarkStart w:id="1" w:name="_Hlk176954101"/>
      <w:r w:rsidRPr="000C7924"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>1. člen</w:t>
      </w:r>
    </w:p>
    <w:bookmarkEnd w:id="1"/>
    <w:p w14:paraId="02D41E91" w14:textId="027C97FE" w:rsidR="00EE2875" w:rsidRDefault="000C7924" w:rsidP="00EE2875">
      <w:pPr>
        <w:spacing w:after="210" w:line="240" w:lineRule="auto"/>
        <w:ind w:firstLine="240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Spremeni </w:t>
      </w:r>
      <w:r w:rsidR="00EE2875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se uvod </w:t>
      </w:r>
      <w:r w:rsidR="00EE2875" w:rsidRPr="00EE2875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Pravilnik</w:t>
      </w:r>
      <w:r w:rsidR="00EE2875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a</w:t>
      </w:r>
      <w:r w:rsidR="00EE2875" w:rsidRPr="00EE2875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o finančnih intervencijah za ohranjanje in razvoj malega gospodarstva in turizma ter vzpodbujanje projektov inovacij v Občini Bovec</w:t>
      </w:r>
      <w:r w:rsidR="00EE2875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(PMGTOB-1, Uradni list RS, št. 48/09, 38/12, 2/13, 43/14, 53/13 in 37/15), ki nadomesti pravno podlago pravilnika - Uredbo Komisije (EU) št. 1407/2013</w:t>
      </w:r>
      <w:r w:rsidR="003979EB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="00F96D63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z dne 18.12.2013 o uporabi členov 107 in 108 Pogodbe o delovanju Evropske unije pri pomoči de </w:t>
      </w:r>
      <w:proofErr w:type="spellStart"/>
      <w:r w:rsidR="00F96D63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minimis</w:t>
      </w:r>
      <w:proofErr w:type="spellEnd"/>
      <w:r w:rsidR="00F96D63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(Uradni list EU L 352, 24.12.2013) z novo pravno podlago – </w:t>
      </w:r>
      <w:bookmarkStart w:id="2" w:name="_Hlk176955540"/>
      <w:r w:rsidR="00F96D63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Uredbo Komisije (</w:t>
      </w:r>
      <w:r w:rsid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EU</w:t>
      </w:r>
      <w:r w:rsidR="00F96D63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) št. 2023/2831 z dne 13.12.2023 o uporabi členov 107 in 108 Pogodbe o delovanju Evropske unije pri pomoči de </w:t>
      </w:r>
      <w:proofErr w:type="spellStart"/>
      <w:r w:rsidR="00F96D63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minimis</w:t>
      </w:r>
      <w:proofErr w:type="spellEnd"/>
      <w:r w:rsidR="00F96D63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(UL L 2023/2831, 15.12.2023). </w:t>
      </w:r>
      <w:bookmarkEnd w:id="2"/>
      <w:r w:rsidR="00F96D63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Ostale pravne podlage ostanejo v veljavi.</w:t>
      </w:r>
    </w:p>
    <w:p w14:paraId="0FED02B6" w14:textId="4B9AD419" w:rsidR="00EE2875" w:rsidRPr="000C7924" w:rsidRDefault="00EE2875" w:rsidP="00EE2875">
      <w:pPr>
        <w:spacing w:after="210" w:line="240" w:lineRule="auto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</w:pPr>
      <w:bookmarkStart w:id="3" w:name="_Hlk176955833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 xml:space="preserve">2. </w:t>
      </w:r>
      <w:r w:rsidRPr="000C7924"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 xml:space="preserve"> člen</w:t>
      </w:r>
    </w:p>
    <w:bookmarkEnd w:id="3"/>
    <w:p w14:paraId="449210C3" w14:textId="5F9332F5" w:rsidR="00EE2875" w:rsidRDefault="00F96D63" w:rsidP="000C7924">
      <w:pPr>
        <w:spacing w:after="210" w:line="240" w:lineRule="auto"/>
        <w:ind w:firstLine="240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Spremeni se 6. člen Pravilnika tako, da upošteva vse uzakonjene spremembe, ki s 1.1.2024 veljajo na področju dodeljevanja državne pomoči po pravilu de </w:t>
      </w:r>
      <w:proofErr w:type="spellStart"/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minimis</w:t>
      </w:r>
      <w:proofErr w:type="spellEnd"/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, </w:t>
      </w:r>
      <w:r w:rsidR="003979EB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in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se po novem glasi:</w:t>
      </w:r>
    </w:p>
    <w:p w14:paraId="5310FE8E" w14:textId="6B21FD22" w:rsidR="00B709B7" w:rsidRDefault="00B709B7" w:rsidP="00B709B7">
      <w:pPr>
        <w:spacing w:after="210" w:line="240" w:lineRule="auto"/>
        <w:ind w:firstLine="240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»Finan</w:t>
      </w:r>
      <w:r w:rsidR="007F5D6F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ne intervencije se lahko izvaja, 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e te predstavljajo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spodbudo za izvedbo nameravanega projekta oziroma so zanj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nujno potrebna.</w:t>
      </w:r>
    </w:p>
    <w:p w14:paraId="21C64667" w14:textId="77777777" w:rsidR="00B709B7" w:rsidRDefault="00B709B7" w:rsidP="00B709B7">
      <w:pPr>
        <w:spacing w:after="210" w:line="240" w:lineRule="auto"/>
        <w:ind w:firstLine="240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Finan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ne intervencije se dodeljujejo po pravilu »de </w:t>
      </w:r>
      <w:proofErr w:type="spellStart"/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minimis</w:t>
      </w:r>
      <w:proofErr w:type="spellEnd"/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«, kar pomeni, da skupna vsota, ki jo je predlagatelj oziroma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enotno podjetje prejelo v obdobju preteklih treh let po tern pravilu,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ne glede na obliko ali namen pomo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i ter ne glede na to, ali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se pomo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dodeli iz sredstev dr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ž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ave, ob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ine ali Unije, n sme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presegati 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3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00.000 EUR, sicer se 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š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teje, da ni upravi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eno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do pomo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i. Obdobje treh let se 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š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teje do roka za vlo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ž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itev vloge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za intervencijo. Izjava o neizpla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ča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ni pomo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i oziroma vi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š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ini izpla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ane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pomo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i po pravilu »de </w:t>
      </w:r>
      <w:proofErr w:type="spellStart"/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minimis</w:t>
      </w:r>
      <w:proofErr w:type="spellEnd"/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« za obdobje preteklih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treh let je obvezna priloga vsaki vlogi.</w:t>
      </w:r>
    </w:p>
    <w:p w14:paraId="5E0348E9" w14:textId="3C9E9EBA" w:rsidR="00B709B7" w:rsidRPr="00B709B7" w:rsidRDefault="00B709B7" w:rsidP="00961B69">
      <w:pPr>
        <w:spacing w:after="210" w:line="240" w:lineRule="auto"/>
        <w:ind w:firstLine="240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Pri dodeljevanju pomo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i de </w:t>
      </w:r>
      <w:proofErr w:type="spellStart"/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minimis</w:t>
      </w:r>
      <w:proofErr w:type="spellEnd"/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se upo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š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teva vse</w:t>
      </w:r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spremembe, ki so bile podane z </w:t>
      </w:r>
      <w:r w:rsidR="00961B69" w:rsidRP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Uredbo Komisije (EU) št. 2023/2831 z dne 13.12.2023 o uporabi členov 107 in 108 Pogodbe o delovanju Evropske unije pri pomoči de </w:t>
      </w:r>
      <w:proofErr w:type="spellStart"/>
      <w:r w:rsidR="00961B69" w:rsidRP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minimis</w:t>
      </w:r>
      <w:proofErr w:type="spellEnd"/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, ki je bila objavljena v Uradnem listu EU L</w:t>
      </w:r>
      <w:r w:rsidR="00961B69" w:rsidRP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2023/2831, 15.12.2023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(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upravi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enost sektorjev, uporaba pojma enotno podjetje, upo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š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tevanje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kumulacije pomo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i, obveza pridobitve pisne izjave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o dodeljenih pomo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eh s strani prejemnika, obveza pisnega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obve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šč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anja prejemnika s strani daja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l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ca pomo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i, obvezna hramba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dokumentacije, obvezno spo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š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tovan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j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e dodatnih pogojev in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druge spremembe, ki vplivajo na dodelitev).</w:t>
      </w:r>
    </w:p>
    <w:p w14:paraId="3600DC1C" w14:textId="3A107C0E" w:rsidR="00B709B7" w:rsidRDefault="00B709B7" w:rsidP="00961B69">
      <w:pPr>
        <w:spacing w:after="210" w:line="240" w:lineRule="auto"/>
        <w:ind w:firstLine="240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Prednost pri dodeljevanju finan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č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nih sredstev imajo prosilci,</w:t>
      </w:r>
      <w:r w:rsidR="00961B69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ki </w:t>
      </w:r>
      <w:r w:rsidR="007F5D6F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š</w:t>
      </w:r>
      <w:r w:rsidRPr="00B709B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e niso prejeli sredstev za namene iz tega pravilnika.«</w:t>
      </w:r>
    </w:p>
    <w:p w14:paraId="01B9C183" w14:textId="2123834E" w:rsidR="00961B69" w:rsidRPr="000C7924" w:rsidRDefault="00961B69" w:rsidP="00961B69">
      <w:pPr>
        <w:spacing w:after="210" w:line="240" w:lineRule="auto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</w:pPr>
      <w:bookmarkStart w:id="4" w:name="_Hlk176960914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 xml:space="preserve">3. </w:t>
      </w:r>
      <w:r w:rsidRPr="000C7924"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 xml:space="preserve"> člen</w:t>
      </w:r>
    </w:p>
    <w:p w14:paraId="7BE92D35" w14:textId="40C57769" w:rsidR="00B709B7" w:rsidRDefault="004158CA" w:rsidP="000C7924">
      <w:pPr>
        <w:spacing w:after="210" w:line="240" w:lineRule="auto"/>
        <w:ind w:firstLine="240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bookmarkStart w:id="5" w:name="_Hlk176961310"/>
      <w:bookmarkStart w:id="6" w:name="_Hlk176961355"/>
      <w:bookmarkEnd w:id="4"/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Spremeni</w:t>
      </w:r>
      <w:bookmarkEnd w:id="5"/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se Priloga I tega pravilnika, ki povzema pogoje dodeljevanja de </w:t>
      </w:r>
      <w:proofErr w:type="spellStart"/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minimis</w:t>
      </w:r>
      <w:proofErr w:type="spellEnd"/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pomoči do 31.12.2023, in sicer tako, da se jo v celoti nadomesti z novo Prilogo I, ki povzema pogoje dodeljevanja de </w:t>
      </w:r>
      <w:proofErr w:type="spellStart"/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>minimis</w:t>
      </w:r>
      <w:proofErr w:type="spellEnd"/>
      <w:r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pomoči od 1.1.2024 naprej. </w:t>
      </w:r>
    </w:p>
    <w:p w14:paraId="779A0724" w14:textId="0226FFC5" w:rsidR="004158CA" w:rsidRDefault="004158CA" w:rsidP="004158CA">
      <w:pPr>
        <w:spacing w:after="210" w:line="240" w:lineRule="auto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</w:pPr>
      <w:bookmarkStart w:id="7" w:name="_Hlk177023270"/>
      <w:bookmarkEnd w:id="6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 xml:space="preserve">4. </w:t>
      </w:r>
      <w:r w:rsidRPr="000C7924"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 xml:space="preserve"> člen</w:t>
      </w:r>
    </w:p>
    <w:p w14:paraId="68657C04" w14:textId="748293D9" w:rsidR="007E033C" w:rsidRDefault="007E033C" w:rsidP="007E033C">
      <w:pPr>
        <w:spacing w:after="210" w:line="240" w:lineRule="auto"/>
        <w:ind w:firstLine="2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bookmarkStart w:id="8" w:name="_Hlk177023349"/>
      <w:bookmarkEnd w:id="7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V skladu z 2. odstavkom 20. člena Pravilnika </w:t>
      </w:r>
      <w:r w:rsidRPr="007E033C">
        <w:rPr>
          <w:rFonts w:ascii="Arial" w:hAnsi="Arial" w:cs="Arial"/>
          <w:color w:val="000000"/>
          <w:sz w:val="18"/>
          <w:szCs w:val="18"/>
          <w:shd w:val="clear" w:color="auto" w:fill="FFFFFF"/>
        </w:rPr>
        <w:t>o sofinanciranju dejavnosti na področju turizma in prireditev v Občini Bovec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(Uradni list RS, št. 46/18 in 53/18</w:t>
      </w:r>
      <w:r w:rsidR="0037283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ki samostojno ureja sofinanciranje delovanja, projektov in prireditev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372837" w:rsidRPr="00372837">
        <w:rPr>
          <w:rFonts w:ascii="Arial" w:hAnsi="Arial" w:cs="Arial"/>
          <w:color w:val="000000"/>
          <w:sz w:val="18"/>
          <w:szCs w:val="18"/>
          <w:shd w:val="clear" w:color="auto" w:fill="FFFFFF"/>
        </w:rPr>
        <w:t>turističnih društev ter društev, ki delujejo na področju spodbujanja in ohranjanja snovne in nesnovne naravne in kulturne dediščine v povezavi s turizmom</w:t>
      </w:r>
      <w:r w:rsidR="0037283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je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z njegovo uveljavitvijo preneha</w:t>
      </w:r>
      <w:r w:rsidR="00372837">
        <w:rPr>
          <w:rFonts w:ascii="Arial" w:hAnsi="Arial" w:cs="Arial"/>
          <w:color w:val="000000"/>
          <w:sz w:val="18"/>
          <w:szCs w:val="18"/>
          <w:shd w:val="clear" w:color="auto" w:fill="FFFFFF"/>
        </w:rPr>
        <w:t>l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veljati Ukrep 3.3 </w:t>
      </w:r>
      <w:bookmarkStart w:id="9" w:name="_Hlk176962130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Sofinanciranje programov turističnih društev</w:t>
      </w:r>
      <w:bookmarkEnd w:id="9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, ki je del Pravilnika o finančnih intervencijah za ohranjanje in razvoj malega gospodarstva in turizma ter vzpodbujanje projektov inovacij v Občini Bovec (Uradni list RS, št. 48/09, 38/12, 2/13, 43/14, 53/14 in 37/15)</w:t>
      </w:r>
      <w:r w:rsidR="0037283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zato se v tem pravilniku ukrep 3.3 Sofinanciranje programov turističnih društev črta. </w:t>
      </w:r>
    </w:p>
    <w:bookmarkEnd w:id="8"/>
    <w:p w14:paraId="0007547A" w14:textId="77777777" w:rsidR="00055B75" w:rsidRDefault="00055B75" w:rsidP="007E033C">
      <w:pPr>
        <w:spacing w:after="210" w:line="240" w:lineRule="auto"/>
        <w:ind w:firstLine="24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</w:pPr>
    </w:p>
    <w:p w14:paraId="412516D4" w14:textId="308912C8" w:rsidR="000C7924" w:rsidRPr="000C7924" w:rsidRDefault="000C7924" w:rsidP="00372837">
      <w:pPr>
        <w:spacing w:after="21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</w:p>
    <w:p w14:paraId="4700C299" w14:textId="4A6A7A89" w:rsidR="00055B75" w:rsidRDefault="00055B75" w:rsidP="00055B75">
      <w:pPr>
        <w:spacing w:after="210" w:line="240" w:lineRule="auto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>5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 xml:space="preserve">. </w:t>
      </w:r>
      <w:r w:rsidRPr="000C7924"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 xml:space="preserve"> člen</w:t>
      </w:r>
    </w:p>
    <w:p w14:paraId="1D61EA06" w14:textId="076A3770" w:rsidR="00051B29" w:rsidRDefault="00051B29" w:rsidP="00055B75">
      <w:pPr>
        <w:spacing w:after="210" w:line="240" w:lineRule="auto"/>
        <w:ind w:firstLine="2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Glede na to, da </w:t>
      </w:r>
      <w:bookmarkStart w:id="10" w:name="_Hlk177027539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Pravilnik o dodeljevanju pomoči za ohranjanje in spodbujanje razvoja kmetijstva, čebelarstva in podeželja v Občini Bovec (Uradni list RS, št. ___)</w:t>
      </w:r>
      <w:bookmarkEnd w:id="10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v okviru poglavja IV v svojem 23. členu uvaja samostojen ukrep </w:t>
      </w:r>
      <w:r w:rsidR="005F061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 naslovom Pomoč za naložbe za opravljanje dopolnilnih dejavnosti na kmetiji, ki v svoji vsebini pomeni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dodeljevanj</w:t>
      </w:r>
      <w:r w:rsidR="005F0619">
        <w:rPr>
          <w:rFonts w:ascii="Arial" w:hAnsi="Arial" w:cs="Arial"/>
          <w:color w:val="000000"/>
          <w:sz w:val="18"/>
          <w:szCs w:val="18"/>
          <w:shd w:val="clear" w:color="auto" w:fill="FFFFFF"/>
        </w:rPr>
        <w:t>e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državnih pomoči po pravilu de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minimis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za </w:t>
      </w:r>
      <w:r w:rsidR="005F061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nosilce dopolnilnih dejavnosti na kmetiji, se v Pravilniku o finančnih intervencijah za ohranjanje in razvoj malega gospodarstva in turizma ter vzpodbujanje projektov inovacij v Občini Bovec spremeni 1. odstavek 4. člena, ki </w:t>
      </w:r>
      <w:r w:rsidR="00D110A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kot upravičence do dodelitve državne pomoči </w:t>
      </w:r>
      <w:r w:rsidR="005F061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določa </w:t>
      </w:r>
      <w:r w:rsidR="00D110A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tudi </w:t>
      </w:r>
      <w:r w:rsidR="005F061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registrirane nosilce dopolnilnih dejavnosti na kmetijah tako, da se črta njegova peta alinea, ki se glasi: »-  </w:t>
      </w:r>
      <w:r w:rsidR="005F0619" w:rsidRPr="005F0619">
        <w:rPr>
          <w:rFonts w:ascii="Arial" w:hAnsi="Arial" w:cs="Arial"/>
          <w:color w:val="000000"/>
          <w:sz w:val="18"/>
          <w:szCs w:val="18"/>
          <w:shd w:val="clear" w:color="auto" w:fill="FFFFFF"/>
        </w:rPr>
        <w:t>registrirani nosilci dopolnilnih dejavnosti na kmetiji</w:t>
      </w:r>
      <w:r w:rsidR="005F0619">
        <w:rPr>
          <w:rFonts w:ascii="Arial" w:hAnsi="Arial" w:cs="Arial"/>
          <w:color w:val="000000"/>
          <w:sz w:val="18"/>
          <w:szCs w:val="18"/>
          <w:shd w:val="clear" w:color="auto" w:fill="FFFFFF"/>
        </w:rPr>
        <w:t>.«</w:t>
      </w:r>
      <w:r w:rsidR="005F0619" w:rsidRPr="005F0619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14:paraId="46E99A75" w14:textId="1C7EC8EE" w:rsidR="000C7924" w:rsidRPr="000C7924" w:rsidRDefault="00D110AE" w:rsidP="000C7924">
      <w:pPr>
        <w:spacing w:after="210" w:line="240" w:lineRule="auto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>6</w:t>
      </w:r>
      <w:r w:rsidR="000C7924" w:rsidRPr="000C7924">
        <w:rPr>
          <w:rFonts w:ascii="Arial" w:eastAsia="Times New Roman" w:hAnsi="Arial" w:cs="Arial"/>
          <w:b/>
          <w:bCs/>
          <w:color w:val="333333"/>
          <w:sz w:val="18"/>
          <w:szCs w:val="18"/>
          <w:lang w:eastAsia="sl-SI"/>
        </w:rPr>
        <w:t>. člen</w:t>
      </w:r>
    </w:p>
    <w:p w14:paraId="0AD7535F" w14:textId="77777777" w:rsidR="000C7924" w:rsidRPr="000C7924" w:rsidRDefault="000C7924" w:rsidP="000C7924">
      <w:pPr>
        <w:spacing w:after="210" w:line="240" w:lineRule="auto"/>
        <w:ind w:firstLine="240"/>
        <w:jc w:val="both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bookmarkStart w:id="11" w:name="_Hlk177023296"/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Ta pravilnik začne veljati naslednji dan po objavi v Uradnem listu Republike Slovenije.</w:t>
      </w:r>
    </w:p>
    <w:bookmarkEnd w:id="11"/>
    <w:p w14:paraId="1A4F2C13" w14:textId="77777777" w:rsidR="00387871" w:rsidRDefault="00387871" w:rsidP="000C7924">
      <w:pPr>
        <w:spacing w:after="210" w:line="240" w:lineRule="auto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</w:p>
    <w:p w14:paraId="01A62753" w14:textId="0C1F4247" w:rsidR="000C7924" w:rsidRPr="000C7924" w:rsidRDefault="000C7924" w:rsidP="000C7924">
      <w:pPr>
        <w:spacing w:after="210" w:line="240" w:lineRule="auto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Št. </w:t>
      </w:r>
      <w:r w:rsidR="00387871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__________</w:t>
      </w:r>
    </w:p>
    <w:p w14:paraId="5E3F5D63" w14:textId="284B76EB" w:rsidR="000C7924" w:rsidRDefault="000C7924" w:rsidP="000C7924">
      <w:pPr>
        <w:spacing w:after="210" w:line="240" w:lineRule="auto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Bovec, dne </w:t>
      </w:r>
      <w:r w:rsidR="0037283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___________</w:t>
      </w:r>
    </w:p>
    <w:p w14:paraId="3FE8D3EE" w14:textId="77777777" w:rsidR="00387871" w:rsidRPr="000C7924" w:rsidRDefault="00387871" w:rsidP="000C7924">
      <w:pPr>
        <w:spacing w:after="210" w:line="240" w:lineRule="auto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</w:p>
    <w:p w14:paraId="3FEE8EAF" w14:textId="439B21B9" w:rsidR="000C7924" w:rsidRPr="000C7924" w:rsidRDefault="000C7924" w:rsidP="000C7924">
      <w:pPr>
        <w:spacing w:after="21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sl-SI"/>
        </w:rPr>
      </w:pP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Župan </w:t>
      </w: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br/>
        <w:t xml:space="preserve">Občine Bovec </w:t>
      </w: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br/>
      </w:r>
      <w:r w:rsidR="00372837">
        <w:rPr>
          <w:rFonts w:ascii="Arial" w:eastAsia="Times New Roman" w:hAnsi="Arial" w:cs="Arial"/>
          <w:color w:val="333333"/>
          <w:sz w:val="18"/>
          <w:szCs w:val="18"/>
          <w:lang w:eastAsia="sl-SI"/>
        </w:rPr>
        <w:t>Valter Mlekuž</w:t>
      </w:r>
      <w:r w:rsidRPr="000C7924">
        <w:rPr>
          <w:rFonts w:ascii="Arial" w:eastAsia="Times New Roman" w:hAnsi="Arial" w:cs="Arial"/>
          <w:color w:val="333333"/>
          <w:sz w:val="18"/>
          <w:szCs w:val="18"/>
          <w:lang w:eastAsia="sl-SI"/>
        </w:rPr>
        <w:t xml:space="preserve"> l.r.</w:t>
      </w:r>
    </w:p>
    <w:p w14:paraId="6130E877" w14:textId="77777777" w:rsidR="003979EB" w:rsidRDefault="003979EB">
      <w:r>
        <w:br w:type="page"/>
      </w:r>
    </w:p>
    <w:p w14:paraId="3DE4AE36" w14:textId="71B8FF8E" w:rsidR="00737E58" w:rsidRPr="00815EFA" w:rsidRDefault="003979EB">
      <w:pPr>
        <w:rPr>
          <w:b/>
          <w:bCs/>
        </w:rPr>
      </w:pPr>
      <w:r w:rsidRPr="00815EFA">
        <w:rPr>
          <w:b/>
          <w:bCs/>
        </w:rPr>
        <w:lastRenderedPageBreak/>
        <w:t>Priloga I</w:t>
      </w:r>
    </w:p>
    <w:p w14:paraId="26A8A40A" w14:textId="107C9327" w:rsid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815EFA">
        <w:rPr>
          <w:b/>
          <w:bCs/>
          <w:sz w:val="20"/>
          <w:szCs w:val="20"/>
        </w:rPr>
        <w:t xml:space="preserve">Pomoč se dodeljuje v skladu z Uredbo Komisije (EU) št. 2023/2831 z dne 13. decembra 2023 o uporabi členov 107 in 108 Pogodbe o delovanju Evropske unije pri pomoči de </w:t>
      </w:r>
      <w:proofErr w:type="spellStart"/>
      <w:r w:rsidRPr="00815EFA">
        <w:rPr>
          <w:b/>
          <w:bCs/>
          <w:sz w:val="20"/>
          <w:szCs w:val="20"/>
        </w:rPr>
        <w:t>minimis</w:t>
      </w:r>
      <w:proofErr w:type="spellEnd"/>
      <w:r w:rsidRPr="00815EFA">
        <w:rPr>
          <w:b/>
          <w:bCs/>
          <w:sz w:val="20"/>
          <w:szCs w:val="20"/>
        </w:rPr>
        <w:t xml:space="preserve"> (UL L, 2023/2831, 15.12.2023) </w:t>
      </w:r>
    </w:p>
    <w:p w14:paraId="13317A90" w14:textId="77777777" w:rsid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</w:p>
    <w:p w14:paraId="2D830504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do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pomoči niso upravičena podjetja iz </w:t>
      </w:r>
      <w:r w:rsidRPr="00815EFA">
        <w:rPr>
          <w:b/>
          <w:bCs/>
          <w:sz w:val="20"/>
          <w:szCs w:val="20"/>
        </w:rPr>
        <w:t>sektorjev</w:t>
      </w:r>
      <w:r w:rsidRPr="00815EFA">
        <w:rPr>
          <w:sz w:val="20"/>
          <w:szCs w:val="20"/>
        </w:rPr>
        <w:t xml:space="preserve">: </w:t>
      </w:r>
    </w:p>
    <w:p w14:paraId="16643F33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>o</w:t>
      </w:r>
      <w:r w:rsidRPr="00815EFA">
        <w:rPr>
          <w:sz w:val="20"/>
          <w:szCs w:val="20"/>
        </w:rPr>
        <w:tab/>
        <w:t>primarne proizvodnje ribiških proizvodov in proizvodov iz akvakulture, opredeljene v členu 5, točki (a) in (b), Uredbe (EU) št. 1379/2013,</w:t>
      </w:r>
    </w:p>
    <w:p w14:paraId="1ED94BB7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>o</w:t>
      </w:r>
      <w:r w:rsidRPr="00815EFA">
        <w:rPr>
          <w:sz w:val="20"/>
          <w:szCs w:val="20"/>
        </w:rPr>
        <w:tab/>
        <w:t>predelave in trženje ribiških proizvodov in proizvodov iz akvakulture, kadar je znesek pomoči določen na podlagi cene ali količine proizvodov, nabavljenih ali danih na trg,</w:t>
      </w:r>
    </w:p>
    <w:p w14:paraId="113A6A33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>o</w:t>
      </w:r>
      <w:r w:rsidRPr="00815EFA">
        <w:rPr>
          <w:sz w:val="20"/>
          <w:szCs w:val="20"/>
        </w:rPr>
        <w:tab/>
        <w:t xml:space="preserve">primarne proizvodnje kmetijskih proizvodov iz seznama v Prilogi I k Pogodbe o delovanju Evropske unije, </w:t>
      </w:r>
    </w:p>
    <w:p w14:paraId="0908DB48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>o</w:t>
      </w:r>
      <w:r w:rsidRPr="00815EFA">
        <w:rPr>
          <w:sz w:val="20"/>
          <w:szCs w:val="20"/>
        </w:rPr>
        <w:tab/>
        <w:t xml:space="preserve">predelave in trženja kmetijskih proizvodov iz seznama v Prilogi I k Pogodbi v naslednjih primerih: </w:t>
      </w:r>
    </w:p>
    <w:p w14:paraId="33D107D6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i. če je znesek pomoči določen na podlagi cene ali količine zadevnih proizvodov, ki so kupljeni od primarnih proizvajalcev ali jih zadevna podjetja dajo na trg, </w:t>
      </w:r>
    </w:p>
    <w:p w14:paraId="75267CCC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ii. če je pomoč pogojena s tem, da se delno ali v celoti prenese na primarne proizvajalce </w:t>
      </w:r>
    </w:p>
    <w:p w14:paraId="608E9911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992FDDC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pomoč ne bo namenjena </w:t>
      </w:r>
      <w:r w:rsidRPr="00815EFA">
        <w:rPr>
          <w:b/>
          <w:bCs/>
          <w:sz w:val="20"/>
          <w:szCs w:val="20"/>
        </w:rPr>
        <w:t xml:space="preserve">izvozu </w:t>
      </w:r>
      <w:r w:rsidRPr="00815EFA">
        <w:rPr>
          <w:sz w:val="20"/>
          <w:szCs w:val="20"/>
        </w:rPr>
        <w:t xml:space="preserve">oz. z izvozom povezane dejavnosti v tretje države ali države članice, kot je pomoč, neposredno povezana z izvoženimi količinami, z ustanovitvijo in delovanjem distribucijske mreže ali drugimi tekočimi izdatki, povezanimi z izvozno dejavnostjo. </w:t>
      </w:r>
    </w:p>
    <w:p w14:paraId="7721D535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7FD4EDC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pomoč ne bo pogojena s </w:t>
      </w:r>
      <w:r w:rsidRPr="00815EFA">
        <w:rPr>
          <w:b/>
          <w:bCs/>
          <w:sz w:val="20"/>
          <w:szCs w:val="20"/>
        </w:rPr>
        <w:t>prednostno rabo domačih proizvodov</w:t>
      </w:r>
      <w:r w:rsidRPr="00815EFA">
        <w:rPr>
          <w:sz w:val="20"/>
          <w:szCs w:val="20"/>
        </w:rPr>
        <w:t xml:space="preserve"> pred uvoženimi. </w:t>
      </w:r>
    </w:p>
    <w:p w14:paraId="7BC72A74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2B4B0DC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skupni znesek pomoči, dodeljen enotnemu podjetju ne bo presegel </w:t>
      </w:r>
      <w:r w:rsidRPr="00815EFA">
        <w:rPr>
          <w:b/>
          <w:bCs/>
          <w:sz w:val="20"/>
          <w:szCs w:val="20"/>
        </w:rPr>
        <w:t>300.000,00 EUR</w:t>
      </w:r>
      <w:r w:rsidRPr="00815EFA">
        <w:rPr>
          <w:sz w:val="20"/>
          <w:szCs w:val="20"/>
        </w:rPr>
        <w:t xml:space="preserve"> v obdobju zadnjih treh let, ne glede na obliko ali namen pomoči, ki se dodeli enotnemu podjetju s strani države članice.</w:t>
      </w:r>
    </w:p>
    <w:p w14:paraId="08F1A032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89B6173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</w:t>
      </w:r>
      <w:r w:rsidRPr="00815EFA">
        <w:rPr>
          <w:b/>
          <w:bCs/>
          <w:sz w:val="20"/>
          <w:szCs w:val="20"/>
        </w:rPr>
        <w:t>»enotno podjetje«</w:t>
      </w:r>
      <w:r w:rsidRPr="00815EFA">
        <w:rPr>
          <w:sz w:val="20"/>
          <w:szCs w:val="20"/>
        </w:rPr>
        <w:t xml:space="preserve"> pomeni vsa podjetja, ki so med seboj najmanj v enem od naslednjih razmerij: </w:t>
      </w:r>
    </w:p>
    <w:p w14:paraId="3BF656F6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4730191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(a) podjetje ima večino glasovalnih pravic delničarjev ali družbenikov drugega podjetja; </w:t>
      </w:r>
    </w:p>
    <w:p w14:paraId="7B100E95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(b) podjetje ima pravico imenovati ali odpoklicati večino članov upravnega, poslovodnega ali nadzornega organa drugega podjetja; </w:t>
      </w:r>
    </w:p>
    <w:p w14:paraId="320C7486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(c) podjetje ima pravico izvrševati prevladujoč vpliv na drugo podjetje na podlagi pogodbe, sklenjene z navedenim podjetjem, ali določbe v njegovi družbeni pogodbi ali statutu; </w:t>
      </w:r>
    </w:p>
    <w:p w14:paraId="22DEFF0A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(d) podjetje, ki je delničar ali družbenik drugega podjetja, na podlagi dogovora z drugimi delničarji ali družbeniki navedenega podjetja sámo nadzoruje večino glasovalnih pravic delničarjev ali družbenikov navedenega podjetja. </w:t>
      </w:r>
    </w:p>
    <w:p w14:paraId="5FEAEB9D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25DBCBA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Podjetja, ki so v katerem koli razmerju iz točk (a) do (d) prvega pododstavka preko enega ali več drugih podjetij, prav tako veljajo za enotno podjetje. </w:t>
      </w:r>
    </w:p>
    <w:p w14:paraId="711E0B7A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8AB3458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se upošteva </w:t>
      </w:r>
      <w:r w:rsidRPr="00815EFA">
        <w:rPr>
          <w:b/>
          <w:bCs/>
          <w:sz w:val="20"/>
          <w:szCs w:val="20"/>
        </w:rPr>
        <w:t>kumulacija pomoči</w:t>
      </w:r>
      <w:r w:rsidRPr="00815EFA">
        <w:rPr>
          <w:sz w:val="20"/>
          <w:szCs w:val="20"/>
        </w:rPr>
        <w:t xml:space="preserve">: </w:t>
      </w:r>
    </w:p>
    <w:p w14:paraId="4B03D289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B09EF1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pomoč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se ne sme kumulirati z državno pomočjo v zvezi z istimi upravičenimi stroški ali državno pomočjo za isti ukrep za financiranje tveganja, če bi se s takšno kumulacijo presegla največja intenzivnost pomoči ali znesek pomoči. </w:t>
      </w:r>
    </w:p>
    <w:p w14:paraId="4ECE8733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4258EE9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pomoč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, dodeljena v skladu z Uredba Komisije (EU) št. 2023/2831, se lahko kumulira s pomočjo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>, dodeljeno v skladu z Uredbo Komisije (EU) št. 1408/2013 in (EU) št. 717/2014 do ustrezne zgornje meje iz člena 3(2) Uredbe Komisije (EU) št. 2023/2831.</w:t>
      </w:r>
    </w:p>
    <w:p w14:paraId="0FE86341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1346996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pomoč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, dodeljena v skladu z Uredbo Komisije (EU) št. 2023/2831 se lahko kumulira s pomočjo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>, dodeljeno v skladu z Uredbo Komisije (EU) št. 2023/2832</w:t>
      </w:r>
    </w:p>
    <w:p w14:paraId="32C38971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27C87C0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bo dajalec pomoči od prejemnika pomoči pred dodelitvijo sredstev pridobil pisno izjavo o: </w:t>
      </w:r>
    </w:p>
    <w:p w14:paraId="4E70801B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CEF5DDB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1. vseh drugih pomočeh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, ki jih je podjetje prejelo na podlagi te ali drugih uredb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v zadnjem triletnem obdobju. </w:t>
      </w:r>
    </w:p>
    <w:p w14:paraId="15F0706E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lastRenderedPageBreak/>
        <w:t xml:space="preserve">2. drugih že prejetih (ali zaprošenih) pomočeh za iste upravičene stroške </w:t>
      </w:r>
    </w:p>
    <w:p w14:paraId="4415E595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71552C2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in zagotovil, da z dodeljenim zneskom pomoči »de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«, ne bo presežena zgornja meja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pomoči ter intenzivnosti pomoči po drugih predpisih. </w:t>
      </w:r>
    </w:p>
    <w:p w14:paraId="281496D9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8EBC96A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da bo dajalec pomoči pisno </w:t>
      </w:r>
      <w:r w:rsidRPr="00815EFA">
        <w:rPr>
          <w:b/>
          <w:bCs/>
          <w:sz w:val="20"/>
          <w:szCs w:val="20"/>
        </w:rPr>
        <w:t>obvestil prejemnika</w:t>
      </w:r>
      <w:r w:rsidRPr="00815EFA">
        <w:rPr>
          <w:sz w:val="20"/>
          <w:szCs w:val="20"/>
        </w:rPr>
        <w:t xml:space="preserve">: </w:t>
      </w:r>
    </w:p>
    <w:p w14:paraId="489AC565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4937E04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da je pomoč dodeljena po pravilu »de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v skladu z Uredbo Komisije (EU) št. 2023/2831 z dne 13. decembra 2023 o uporabi členov 107 in 108 Pogodbe o delovanju Evropske unije pri pomoči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(UL L, 2023/2831, 15.12.2023) </w:t>
      </w:r>
    </w:p>
    <w:p w14:paraId="595666D9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</w:t>
      </w:r>
      <w:proofErr w:type="spellStart"/>
      <w:r w:rsidRPr="00815EFA">
        <w:rPr>
          <w:sz w:val="20"/>
          <w:szCs w:val="20"/>
        </w:rPr>
        <w:t>o</w:t>
      </w:r>
      <w:proofErr w:type="spellEnd"/>
      <w:r w:rsidRPr="00815EFA">
        <w:rPr>
          <w:sz w:val="20"/>
          <w:szCs w:val="20"/>
        </w:rPr>
        <w:t xml:space="preserve"> znesku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pomoči. </w:t>
      </w:r>
    </w:p>
    <w:p w14:paraId="62B4755C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0074528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bo dajalec pomoči hranil </w:t>
      </w:r>
      <w:r w:rsidRPr="00815EFA">
        <w:rPr>
          <w:b/>
          <w:bCs/>
          <w:sz w:val="20"/>
          <w:szCs w:val="20"/>
        </w:rPr>
        <w:t>evidence</w:t>
      </w:r>
      <w:r w:rsidRPr="00815EFA">
        <w:rPr>
          <w:sz w:val="20"/>
          <w:szCs w:val="20"/>
        </w:rPr>
        <w:t xml:space="preserve"> o individualni pomoči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10 let od datuma dodelitve pomoči. </w:t>
      </w:r>
    </w:p>
    <w:p w14:paraId="71F4D73C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F2127B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V primeru posojila, vlaganja kapitala in jamstva veljajo še dodatni pogoji: </w:t>
      </w:r>
    </w:p>
    <w:p w14:paraId="59BBD1EC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5713164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pomoč se lahko dodeli v obliki </w:t>
      </w:r>
      <w:r w:rsidRPr="00815EFA">
        <w:rPr>
          <w:b/>
          <w:bCs/>
          <w:sz w:val="20"/>
          <w:szCs w:val="20"/>
        </w:rPr>
        <w:t>ugodnega posojila</w:t>
      </w:r>
      <w:r w:rsidRPr="00815EFA">
        <w:rPr>
          <w:sz w:val="20"/>
          <w:szCs w:val="20"/>
        </w:rPr>
        <w:t xml:space="preserve">, če: </w:t>
      </w:r>
    </w:p>
    <w:p w14:paraId="328076F6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5608699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upravičenec ni v </w:t>
      </w:r>
      <w:proofErr w:type="spellStart"/>
      <w:r w:rsidRPr="00815EFA">
        <w:rPr>
          <w:sz w:val="20"/>
          <w:szCs w:val="20"/>
        </w:rPr>
        <w:t>insolvenčnem</w:t>
      </w:r>
      <w:proofErr w:type="spellEnd"/>
      <w:r w:rsidRPr="00815EFA">
        <w:rPr>
          <w:sz w:val="20"/>
          <w:szCs w:val="20"/>
        </w:rPr>
        <w:t xml:space="preserve"> postopku niti ne izpolnjuje v nacionalnem pravu določenih pogojev za uvedbo </w:t>
      </w:r>
      <w:proofErr w:type="spellStart"/>
      <w:r w:rsidRPr="00815EFA">
        <w:rPr>
          <w:sz w:val="20"/>
          <w:szCs w:val="20"/>
        </w:rPr>
        <w:t>insolvenčnega</w:t>
      </w:r>
      <w:proofErr w:type="spellEnd"/>
      <w:r w:rsidRPr="00815EFA">
        <w:rPr>
          <w:sz w:val="20"/>
          <w:szCs w:val="20"/>
        </w:rPr>
        <w:t xml:space="preserve"> postopka na predlog njegovih upnikov. V primeru večjih podjetij mora biti upravičenec v položaju, primerljivem kreditni oceni vsaj B-; </w:t>
      </w:r>
      <w:r w:rsidRPr="00815EFA">
        <w:rPr>
          <w:b/>
          <w:bCs/>
          <w:sz w:val="20"/>
          <w:szCs w:val="20"/>
        </w:rPr>
        <w:t xml:space="preserve">in </w:t>
      </w:r>
    </w:p>
    <w:p w14:paraId="63185D24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8BA2BCF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je posojilo zavarovano z zavarovanjem, ki pokriva vsaj 50 % posojila, in posojilo znaša bodisi 1.500.000 EUR za obdobje petih let bodisi 750.000 EUR za obdobje desetih let; če je posojilo nižje od teh zneskov ali je dodeljeno za manj kot pet oziroma deset let, se bruto ekvivalent tega posojila izračuna kot odgovarjajoči delež ustrezne zgornje meje; </w:t>
      </w:r>
      <w:r w:rsidRPr="00815EFA">
        <w:rPr>
          <w:b/>
          <w:bCs/>
          <w:sz w:val="20"/>
          <w:szCs w:val="20"/>
        </w:rPr>
        <w:t xml:space="preserve">ali </w:t>
      </w:r>
    </w:p>
    <w:p w14:paraId="592F7618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CD26504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je višina pomoči (bruto ekvivalent nepovratnih sredstev) izračunana na podlagi referenčne obrestne mere, ki velja v času dodelitve. </w:t>
      </w:r>
    </w:p>
    <w:p w14:paraId="7E7A0C50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B374C4E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pomoč se lahko dodeli v obliki </w:t>
      </w:r>
      <w:r w:rsidRPr="00815EFA">
        <w:rPr>
          <w:b/>
          <w:bCs/>
          <w:sz w:val="20"/>
          <w:szCs w:val="20"/>
        </w:rPr>
        <w:t>kapitalskih injekcij</w:t>
      </w:r>
      <w:r w:rsidRPr="00815EFA">
        <w:rPr>
          <w:sz w:val="20"/>
          <w:szCs w:val="20"/>
        </w:rPr>
        <w:t xml:space="preserve">, če skupni znesek injekcije javnega kapitala ne presega zgornje meje pomoči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. </w:t>
      </w:r>
    </w:p>
    <w:p w14:paraId="03770DE7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95D07ED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pomoč se lahko dodeli v obliki ukrepov za </w:t>
      </w:r>
      <w:r w:rsidRPr="00815EFA">
        <w:rPr>
          <w:b/>
          <w:bCs/>
          <w:sz w:val="20"/>
          <w:szCs w:val="20"/>
        </w:rPr>
        <w:t>financiranje tveganja</w:t>
      </w:r>
      <w:r w:rsidRPr="00815EFA">
        <w:rPr>
          <w:sz w:val="20"/>
          <w:szCs w:val="20"/>
        </w:rPr>
        <w:t xml:space="preserve"> v obliki naložb lastniškega kapitala ali navideznega lastniškega kapitala, če kapital za enotno podjetje ne presega zgornje meje pomoči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. </w:t>
      </w:r>
    </w:p>
    <w:p w14:paraId="5105BAA1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3D5A0C8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→ De </w:t>
      </w:r>
      <w:proofErr w:type="spellStart"/>
      <w:r w:rsidRPr="00815EFA">
        <w:rPr>
          <w:sz w:val="20"/>
          <w:szCs w:val="20"/>
        </w:rPr>
        <w:t>minimis</w:t>
      </w:r>
      <w:proofErr w:type="spellEnd"/>
      <w:r w:rsidRPr="00815EFA">
        <w:rPr>
          <w:sz w:val="20"/>
          <w:szCs w:val="20"/>
        </w:rPr>
        <w:t xml:space="preserve"> pomoč se lahko dodeli v obliki j</w:t>
      </w:r>
      <w:r w:rsidRPr="00815EFA">
        <w:rPr>
          <w:b/>
          <w:bCs/>
          <w:sz w:val="20"/>
          <w:szCs w:val="20"/>
        </w:rPr>
        <w:t>amstva</w:t>
      </w:r>
      <w:r w:rsidRPr="00815EFA">
        <w:rPr>
          <w:sz w:val="20"/>
          <w:szCs w:val="20"/>
        </w:rPr>
        <w:t xml:space="preserve">, če: </w:t>
      </w:r>
    </w:p>
    <w:p w14:paraId="158600E2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0DCAAFA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upravičenec ni v </w:t>
      </w:r>
      <w:proofErr w:type="spellStart"/>
      <w:r w:rsidRPr="00815EFA">
        <w:rPr>
          <w:sz w:val="20"/>
          <w:szCs w:val="20"/>
        </w:rPr>
        <w:t>insolvenčnem</w:t>
      </w:r>
      <w:proofErr w:type="spellEnd"/>
      <w:r w:rsidRPr="00815EFA">
        <w:rPr>
          <w:sz w:val="20"/>
          <w:szCs w:val="20"/>
        </w:rPr>
        <w:t xml:space="preserve"> postopku niti ne izpolnjuje v nacionalnem pravu določenih pogojev za uvedbo </w:t>
      </w:r>
      <w:proofErr w:type="spellStart"/>
      <w:r w:rsidRPr="00815EFA">
        <w:rPr>
          <w:sz w:val="20"/>
          <w:szCs w:val="20"/>
        </w:rPr>
        <w:t>insolvenčnega</w:t>
      </w:r>
      <w:proofErr w:type="spellEnd"/>
      <w:r w:rsidRPr="00815EFA">
        <w:rPr>
          <w:sz w:val="20"/>
          <w:szCs w:val="20"/>
        </w:rPr>
        <w:t xml:space="preserve"> postopka na predlog njegovih upnikov. V primeru večjih podjetij mora biti upravičenec v položaju, primerljivem kreditni oceni vsaj B-; </w:t>
      </w:r>
      <w:r w:rsidRPr="00C75A07">
        <w:rPr>
          <w:b/>
          <w:bCs/>
          <w:sz w:val="20"/>
          <w:szCs w:val="20"/>
        </w:rPr>
        <w:t>in</w:t>
      </w:r>
      <w:r w:rsidRPr="00815EFA">
        <w:rPr>
          <w:sz w:val="20"/>
          <w:szCs w:val="20"/>
        </w:rPr>
        <w:t xml:space="preserve"> </w:t>
      </w:r>
    </w:p>
    <w:p w14:paraId="3C982099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3275703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 xml:space="preserve">o jamstvo ne presega 80 % osnovnega posojila in bodisi jamstvo znaša 2.250.000 EUR za podjetja, ter traja pet let bodisi jamstvo znaša 1.125.000 EUR ter traja deset let; če je jamstvo nižje od teh zneskov in/ali traja manj kot pet oziroma deset let, se bruto ekvivalent tega posojila izračuna kot odgovarjajoči delež ustrezne zgornje meje; </w:t>
      </w:r>
      <w:r w:rsidRPr="00C75A07">
        <w:rPr>
          <w:b/>
          <w:bCs/>
          <w:sz w:val="20"/>
          <w:szCs w:val="20"/>
        </w:rPr>
        <w:t xml:space="preserve">ali </w:t>
      </w:r>
    </w:p>
    <w:p w14:paraId="0741E83B" w14:textId="77777777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C6CC80C" w14:textId="0676E69F" w:rsidR="00815EFA" w:rsidRP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15EFA">
        <w:rPr>
          <w:sz w:val="20"/>
          <w:szCs w:val="20"/>
        </w:rPr>
        <w:t>o je višina pomoči (bruto ekvivalent nepovratnih sredstev) izračunana na podlagi premij varnega pristana iz obvestila Komisije.</w:t>
      </w:r>
    </w:p>
    <w:p w14:paraId="0327A2B5" w14:textId="77777777" w:rsid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</w:p>
    <w:p w14:paraId="7AC01750" w14:textId="77777777" w:rsidR="00815EFA" w:rsidRDefault="00815EFA" w:rsidP="00815EF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</w:p>
    <w:sectPr w:rsidR="00815EFA" w:rsidSect="00737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96ACE"/>
    <w:multiLevelType w:val="hybridMultilevel"/>
    <w:tmpl w:val="4B82224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33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924"/>
    <w:rsid w:val="0000501C"/>
    <w:rsid w:val="00051B29"/>
    <w:rsid w:val="00055B75"/>
    <w:rsid w:val="000C7924"/>
    <w:rsid w:val="0011417B"/>
    <w:rsid w:val="00372837"/>
    <w:rsid w:val="00387871"/>
    <w:rsid w:val="003979EB"/>
    <w:rsid w:val="00397C49"/>
    <w:rsid w:val="004158CA"/>
    <w:rsid w:val="005F0619"/>
    <w:rsid w:val="00737E58"/>
    <w:rsid w:val="00741A2B"/>
    <w:rsid w:val="007E033C"/>
    <w:rsid w:val="007F5D6F"/>
    <w:rsid w:val="00815EFA"/>
    <w:rsid w:val="008D3876"/>
    <w:rsid w:val="00961B69"/>
    <w:rsid w:val="00B55475"/>
    <w:rsid w:val="00B709B7"/>
    <w:rsid w:val="00C75A07"/>
    <w:rsid w:val="00D110AE"/>
    <w:rsid w:val="00EE2875"/>
    <w:rsid w:val="00F9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55A0B"/>
  <w15:docId w15:val="{1C366985-22D6-4EEF-ABE0-4AD0CC811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55B7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0C7924"/>
    <w:rPr>
      <w:color w:val="2273A3"/>
      <w:u w:val="single"/>
    </w:rPr>
  </w:style>
  <w:style w:type="character" w:styleId="Krepko">
    <w:name w:val="Strong"/>
    <w:basedOn w:val="Privzetapisavaodstavka"/>
    <w:uiPriority w:val="22"/>
    <w:qFormat/>
    <w:rsid w:val="000C7924"/>
    <w:rPr>
      <w:b/>
      <w:bCs/>
    </w:rPr>
  </w:style>
  <w:style w:type="paragraph" w:styleId="Navadensplet">
    <w:name w:val="Normal (Web)"/>
    <w:basedOn w:val="Navaden"/>
    <w:uiPriority w:val="99"/>
    <w:semiHidden/>
    <w:unhideWhenUsed/>
    <w:rsid w:val="000C7924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customStyle="1" w:styleId="purple">
    <w:name w:val="purple"/>
    <w:basedOn w:val="Navaden"/>
    <w:rsid w:val="000C7924"/>
    <w:pPr>
      <w:spacing w:after="210" w:line="240" w:lineRule="auto"/>
    </w:pPr>
    <w:rPr>
      <w:rFonts w:ascii="Times New Roman" w:eastAsia="Times New Roman" w:hAnsi="Times New Roman" w:cs="Times New Roman"/>
      <w:color w:val="6B7E9D"/>
      <w:sz w:val="18"/>
      <w:szCs w:val="18"/>
      <w:lang w:eastAsia="sl-SI"/>
    </w:rPr>
  </w:style>
  <w:style w:type="paragraph" w:customStyle="1" w:styleId="esegmentp1">
    <w:name w:val="esegment_p1"/>
    <w:basedOn w:val="Navaden"/>
    <w:rsid w:val="000C7924"/>
    <w:pPr>
      <w:spacing w:after="210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customStyle="1" w:styleId="esegmenth4">
    <w:name w:val="esegment_h4"/>
    <w:basedOn w:val="Navaden"/>
    <w:rsid w:val="000C7924"/>
    <w:pPr>
      <w:spacing w:after="210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sl-SI"/>
    </w:rPr>
  </w:style>
  <w:style w:type="paragraph" w:customStyle="1" w:styleId="esegmentt">
    <w:name w:val="esegment_t"/>
    <w:basedOn w:val="Navaden"/>
    <w:rsid w:val="000C7924"/>
    <w:pPr>
      <w:spacing w:after="210" w:line="360" w:lineRule="atLeast"/>
      <w:jc w:val="center"/>
    </w:pPr>
    <w:rPr>
      <w:rFonts w:ascii="Times New Roman" w:eastAsia="Times New Roman" w:hAnsi="Times New Roman" w:cs="Times New Roman"/>
      <w:b/>
      <w:bCs/>
      <w:color w:val="6B7E9D"/>
      <w:sz w:val="31"/>
      <w:szCs w:val="31"/>
      <w:lang w:eastAsia="sl-SI"/>
    </w:rPr>
  </w:style>
  <w:style w:type="paragraph" w:customStyle="1" w:styleId="esegmentc1">
    <w:name w:val="esegment_c1"/>
    <w:basedOn w:val="Navaden"/>
    <w:rsid w:val="000C7924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customStyle="1" w:styleId="prevnext2">
    <w:name w:val="prevnext2"/>
    <w:basedOn w:val="Navaden"/>
    <w:rsid w:val="000C7924"/>
    <w:pPr>
      <w:spacing w:before="300"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customStyle="1" w:styleId="printtool">
    <w:name w:val="print_tool"/>
    <w:basedOn w:val="Navaden"/>
    <w:rsid w:val="000C7924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C7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C79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15E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9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8512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0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4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3384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FFFFFF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Cecilija Avsenik</dc:creator>
  <cp:lastModifiedBy>Cecilija</cp:lastModifiedBy>
  <cp:revision>9</cp:revision>
  <dcterms:created xsi:type="dcterms:W3CDTF">2024-09-11T08:55:00Z</dcterms:created>
  <dcterms:modified xsi:type="dcterms:W3CDTF">2024-09-12T08:00:00Z</dcterms:modified>
</cp:coreProperties>
</file>